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0B8F1" w14:textId="64444D20" w:rsidR="007519DD" w:rsidRPr="00E80F82" w:rsidRDefault="002C012F" w:rsidP="00E80F82">
      <w:pPr>
        <w:spacing w:after="160" w:line="256" w:lineRule="auto"/>
        <w:jc w:val="center"/>
        <w:rPr>
          <w:rFonts w:ascii="Aptos" w:eastAsia="Aptos" w:hAnsi="Aptos"/>
          <w:b/>
          <w:bCs/>
          <w:color w:val="F79646" w:themeColor="accent6"/>
          <w:kern w:val="2"/>
          <w:lang w:eastAsia="en-US"/>
        </w:rPr>
      </w:pPr>
      <w:r>
        <w:rPr>
          <w:rFonts w:ascii="Aptos" w:eastAsia="Aptos" w:hAnsi="Aptos"/>
          <w:b/>
          <w:bCs/>
          <w:color w:val="F79646" w:themeColor="accent6"/>
          <w:kern w:val="2"/>
          <w:lang w:eastAsia="en-US"/>
        </w:rPr>
        <w:t>ALLEGATO TECNICO</w:t>
      </w:r>
    </w:p>
    <w:p w14:paraId="3AA383E6" w14:textId="1F7B16DF" w:rsidR="00E80F82" w:rsidRPr="00E80F82" w:rsidRDefault="00014B14" w:rsidP="00E80F82">
      <w:pPr>
        <w:spacing w:after="160" w:line="256" w:lineRule="auto"/>
        <w:jc w:val="center"/>
        <w:rPr>
          <w:rFonts w:ascii="Aptos" w:eastAsia="Aptos" w:hAnsi="Aptos"/>
          <w:b/>
          <w:bCs/>
          <w:color w:val="F79646" w:themeColor="accent6"/>
          <w:kern w:val="2"/>
          <w:sz w:val="22"/>
          <w:szCs w:val="22"/>
          <w:lang w:eastAsia="en-US"/>
        </w:rPr>
      </w:pPr>
      <w:r>
        <w:rPr>
          <w:rFonts w:ascii="Aptos" w:eastAsia="Aptos" w:hAnsi="Aptos"/>
          <w:b/>
          <w:bCs/>
          <w:noProof/>
          <w:color w:val="F79646" w:themeColor="accent6"/>
          <w:kern w:val="2"/>
          <w:sz w:val="22"/>
          <w:szCs w:val="22"/>
          <w:lang w:eastAsia="en-US"/>
        </w:rPr>
        <w:pict w14:anchorId="46A9494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.4pt;margin-top:4.1pt;width:459pt;height:0;z-index:251658240" o:connectortype="straight" strokecolor="#f79646 [3209]" strokeweight="2.5pt">
            <v:shadow color="#868686"/>
          </v:shape>
        </w:pict>
      </w:r>
    </w:p>
    <w:p w14:paraId="2F5D934D" w14:textId="0CB4815E" w:rsidR="002764DF" w:rsidRDefault="005F2D83" w:rsidP="002764DF">
      <w:pPr>
        <w:jc w:val="center"/>
        <w:rPr>
          <w:rFonts w:ascii="Aptos" w:eastAsia="Aptos" w:hAnsi="Aptos"/>
          <w:b/>
          <w:bCs/>
          <w:kern w:val="2"/>
          <w:sz w:val="22"/>
          <w:szCs w:val="22"/>
          <w:u w:val="single"/>
          <w:lang w:eastAsia="en-US"/>
        </w:rPr>
      </w:pPr>
      <w:r w:rsidRPr="005F2D83">
        <w:rPr>
          <w:rFonts w:ascii="Aptos" w:eastAsia="Aptos" w:hAnsi="Aptos"/>
          <w:b/>
          <w:bCs/>
          <w:kern w:val="2"/>
          <w:sz w:val="22"/>
          <w:szCs w:val="22"/>
          <w:u w:val="single"/>
          <w:lang w:eastAsia="en-US"/>
        </w:rPr>
        <w:t>PROTEZIONE DALLE SOVRATENSIONI NEI SISTEMI DI RICARICA</w:t>
      </w:r>
    </w:p>
    <w:p w14:paraId="23E05E6E" w14:textId="77777777" w:rsidR="002764DF" w:rsidRPr="002764DF" w:rsidRDefault="002764DF" w:rsidP="002764DF">
      <w:pPr>
        <w:jc w:val="center"/>
        <w:rPr>
          <w:rFonts w:ascii="Aptos" w:eastAsia="Aptos" w:hAnsi="Aptos"/>
          <w:b/>
          <w:bCs/>
          <w:kern w:val="2"/>
          <w:sz w:val="22"/>
          <w:szCs w:val="22"/>
          <w:u w:val="single"/>
          <w:lang w:eastAsia="en-US"/>
        </w:rPr>
      </w:pPr>
    </w:p>
    <w:p w14:paraId="01A0981F" w14:textId="6321D7C1" w:rsidR="009C69F4" w:rsidRPr="00D609D4" w:rsidRDefault="009C69F4" w:rsidP="009C69F4">
      <w:pPr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</w:pPr>
      <w:r w:rsidRPr="00D609D4"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  <w:t xml:space="preserve">1. </w:t>
      </w:r>
      <w:r w:rsidR="00454908" w:rsidRPr="00454908"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  <w:t>Oggetto e scopo</w:t>
      </w:r>
    </w:p>
    <w:p w14:paraId="08F892FD" w14:textId="7FE96702" w:rsidR="009C69F4" w:rsidRPr="00454908" w:rsidRDefault="00454908" w:rsidP="009C69F4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454908">
        <w:rPr>
          <w:rFonts w:ascii="Aptos Narrow" w:eastAsia="Aptos" w:hAnsi="Aptos Narrow"/>
          <w:kern w:val="2"/>
          <w:sz w:val="22"/>
          <w:szCs w:val="22"/>
          <w:lang w:eastAsia="en-US"/>
        </w:rPr>
        <w:t>Il presente allegato tecnico ha lo scopo di sintetizzare i requisiti normativi e i criteri progettuali necessari per la corretta protezione contro le sovratensioni transitorie negli impianti elettrici delle scuole, con particolare attenzione ai punti di ricarica per veicoli elettrici (EV) e alle infrastrutture critiche dell’edificio.</w:t>
      </w:r>
    </w:p>
    <w:p w14:paraId="53F65E5C" w14:textId="77777777" w:rsidR="009C69F4" w:rsidRDefault="009C69F4" w:rsidP="00B6463C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3ABE99A4" w14:textId="2005315B" w:rsidR="007A1FAA" w:rsidRDefault="007A1FAA" w:rsidP="00B6463C">
      <w:pPr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</w:pPr>
      <w:r w:rsidRPr="007A1FAA"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  <w:t xml:space="preserve">2. </w:t>
      </w:r>
      <w:r w:rsidR="00454908" w:rsidRPr="00454908"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  <w:t>Quadro normativo di riferimento</w:t>
      </w:r>
    </w:p>
    <w:p w14:paraId="5F6FC825" w14:textId="77777777" w:rsidR="00F2646F" w:rsidRPr="007A1FAA" w:rsidRDefault="00F2646F" w:rsidP="00B6463C">
      <w:pPr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</w:pPr>
    </w:p>
    <w:p w14:paraId="55D17CD0" w14:textId="76D1A8BE" w:rsidR="00014B14" w:rsidRPr="00F2646F" w:rsidRDefault="00F2646F" w:rsidP="00F2646F">
      <w:pPr>
        <w:rPr>
          <w:rFonts w:ascii="Aptos Narrow" w:eastAsia="Aptos" w:hAnsi="Aptos Narrow"/>
          <w:kern w:val="2"/>
          <w:sz w:val="22"/>
          <w:szCs w:val="22"/>
          <w:u w:val="single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u w:val="single"/>
          <w:lang w:eastAsia="en-US"/>
        </w:rPr>
        <w:t>2.1 Obbligo di protezione per i punti di ricarica EV</w:t>
      </w:r>
    </w:p>
    <w:p w14:paraId="336D4726" w14:textId="77777777" w:rsidR="00F2646F" w:rsidRPr="00F2646F" w:rsidRDefault="00F2646F" w:rsidP="00F2646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 xml:space="preserve">La Norma Tecnica CEI 64-8/7:2024-07, art. </w:t>
      </w:r>
      <w:r w:rsidRPr="00F2646F">
        <w:rPr>
          <w:rFonts w:ascii="Aptos Narrow" w:eastAsia="Aptos" w:hAnsi="Aptos Narrow"/>
          <w:i/>
          <w:iCs/>
          <w:kern w:val="2"/>
          <w:sz w:val="22"/>
          <w:szCs w:val="22"/>
          <w:lang w:eastAsia="en-US"/>
        </w:rPr>
        <w:t>722.443.3</w:t>
      </w: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, prescrive che:</w:t>
      </w:r>
    </w:p>
    <w:p w14:paraId="024F4FC1" w14:textId="77777777" w:rsidR="00F2646F" w:rsidRPr="00F2646F" w:rsidRDefault="00F2646F" w:rsidP="00F2646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«Un punto di connessione accessibile al pubblico è parte del servizio aperto al pubblico e deve essere protetto contro le sovratensioni transitorie</w:t>
      </w:r>
      <w:proofErr w:type="gramStart"/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» .</w:t>
      </w:r>
      <w:proofErr w:type="gramEnd"/>
    </w:p>
    <w:p w14:paraId="37B35583" w14:textId="77777777" w:rsidR="00F2646F" w:rsidRDefault="00F2646F" w:rsidP="00F2646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La nota di commento estende inoltre la raccomandazione anche ai punti non accessibili al pubblico, al fine di evitare danni ai veicoli collegati.</w:t>
      </w:r>
    </w:p>
    <w:p w14:paraId="14BB419B" w14:textId="77777777" w:rsidR="00014B14" w:rsidRPr="00F2646F" w:rsidRDefault="00014B14" w:rsidP="00F2646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519CD05D" w14:textId="5CD94886" w:rsidR="00014B14" w:rsidRPr="00F2646F" w:rsidRDefault="00F2646F" w:rsidP="00F2646F">
      <w:pPr>
        <w:rPr>
          <w:rFonts w:ascii="Aptos Narrow" w:eastAsia="Aptos" w:hAnsi="Aptos Narrow"/>
          <w:kern w:val="2"/>
          <w:sz w:val="22"/>
          <w:szCs w:val="22"/>
          <w:u w:val="single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u w:val="single"/>
          <w:lang w:eastAsia="en-US"/>
        </w:rPr>
        <w:t>2.2 Obblighi generali negli impianti BT delle scuole</w:t>
      </w:r>
    </w:p>
    <w:p w14:paraId="53FD192C" w14:textId="77777777" w:rsidR="00F2646F" w:rsidRPr="00F2646F" w:rsidRDefault="00F2646F" w:rsidP="00F2646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 xml:space="preserve">L'art. </w:t>
      </w:r>
      <w:r w:rsidRPr="00F2646F">
        <w:rPr>
          <w:rFonts w:ascii="Aptos Narrow" w:eastAsia="Aptos" w:hAnsi="Aptos Narrow"/>
          <w:i/>
          <w:iCs/>
          <w:kern w:val="2"/>
          <w:sz w:val="22"/>
          <w:szCs w:val="22"/>
          <w:lang w:eastAsia="en-US"/>
        </w:rPr>
        <w:t>443.4 – CEI 64-8/4:2024-07</w:t>
      </w: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 xml:space="preserve"> stabilisce che la protezione contro le sovratensioni transitorie è obbligatoria quando la loro assenza può arrecare effetti su:</w:t>
      </w:r>
    </w:p>
    <w:p w14:paraId="2FBB80D5" w14:textId="77777777" w:rsidR="00F2646F" w:rsidRPr="00F2646F" w:rsidRDefault="00F2646F" w:rsidP="00F2646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a) la vita umana (servizi di sicurezza, apparati medicali);</w:t>
      </w: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br/>
        <w:t>b) servizi pubblici e patrimonio culturale (es. perdita di servizi, centri IT, musei);</w:t>
      </w: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br/>
        <w:t>c) attività commerciali e industriali;</w:t>
      </w: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br/>
        <w:t xml:space="preserve">d) luoghi frequentati da un gran numero di persone, come le </w:t>
      </w:r>
      <w:proofErr w:type="gramStart"/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scuole .</w:t>
      </w:r>
      <w:proofErr w:type="gramEnd"/>
    </w:p>
    <w:p w14:paraId="77B59D2C" w14:textId="77777777" w:rsidR="00014B14" w:rsidRDefault="00014B14" w:rsidP="00F2646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474A28AC" w14:textId="07F25BBA" w:rsidR="00F2646F" w:rsidRPr="00F2646F" w:rsidRDefault="00F2646F" w:rsidP="00F2646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Ne deriva che gli edifici scolastici rientrano pienamente tra le strutture per le quali la protezione SPD è obbligatoria o altamente raccomandata.</w:t>
      </w:r>
    </w:p>
    <w:p w14:paraId="685889DC" w14:textId="77777777" w:rsidR="00895B99" w:rsidRDefault="00895B99" w:rsidP="00B6463C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6F1BF527" w14:textId="6D4857D8" w:rsidR="00A64E1F" w:rsidRPr="00D609D4" w:rsidRDefault="00A64E1F" w:rsidP="00A64E1F">
      <w:pPr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</w:pPr>
      <w:r w:rsidRPr="00D609D4"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  <w:t xml:space="preserve">3. </w:t>
      </w:r>
      <w:r w:rsidR="00F2646F" w:rsidRPr="00F2646F"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  <w:t>Criteri progettuali per la scelta degli SPD</w:t>
      </w:r>
    </w:p>
    <w:p w14:paraId="695E6595" w14:textId="77777777" w:rsidR="00F2646F" w:rsidRPr="00F2646F" w:rsidRDefault="00F2646F" w:rsidP="00F2646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 xml:space="preserve">Il capitolo </w:t>
      </w:r>
      <w:r w:rsidRPr="00F2646F">
        <w:rPr>
          <w:rFonts w:ascii="Aptos Narrow" w:eastAsia="Aptos" w:hAnsi="Aptos Narrow"/>
          <w:i/>
          <w:iCs/>
          <w:kern w:val="2"/>
          <w:sz w:val="22"/>
          <w:szCs w:val="22"/>
          <w:lang w:eastAsia="en-US"/>
        </w:rPr>
        <w:t>534 – CEI 64-8/5:2024-07</w:t>
      </w: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 xml:space="preserve"> e la serie CEI EN IEC 62305 (CEI 81-10) forniscono i riferimenti tecnici per selezione, coordinamento e installazione dei dispositivi di protezione (SPD).</w:t>
      </w:r>
    </w:p>
    <w:p w14:paraId="656BE87B" w14:textId="6443874B" w:rsidR="00F2646F" w:rsidRPr="00F2646F" w:rsidRDefault="00F2646F" w:rsidP="00F2646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La scelta della tipologia, classe, livello di protezione (Up) e posizionamento degli SPD deve considerare diversi parametri, esplicitati nell’analisi tecnica del documento originale:</w:t>
      </w:r>
    </w:p>
    <w:p w14:paraId="77C2B157" w14:textId="77777777" w:rsidR="00F2646F" w:rsidRPr="00F2646F" w:rsidRDefault="00F2646F" w:rsidP="00F2646F">
      <w:pPr>
        <w:numPr>
          <w:ilvl w:val="0"/>
          <w:numId w:val="43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Probabilità di fulminazione diretta o indiretta dell’area geografica.</w:t>
      </w:r>
    </w:p>
    <w:p w14:paraId="031A3DB6" w14:textId="77777777" w:rsidR="00F2646F" w:rsidRPr="00F2646F" w:rsidRDefault="00F2646F" w:rsidP="00F2646F">
      <w:pPr>
        <w:numPr>
          <w:ilvl w:val="0"/>
          <w:numId w:val="43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Livello di protezione richiesto per le apparecchiature a valle (quadri, sistemi ICT, stazioni di ricarica, dispositivi elettromedicali).</w:t>
      </w:r>
    </w:p>
    <w:p w14:paraId="20BE2033" w14:textId="77777777" w:rsidR="00F2646F" w:rsidRPr="00F2646F" w:rsidRDefault="00F2646F" w:rsidP="00F2646F">
      <w:pPr>
        <w:numPr>
          <w:ilvl w:val="0"/>
          <w:numId w:val="43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Valore della corrente di cortocircuito presunta nel punto di installazione (Icc).</w:t>
      </w:r>
    </w:p>
    <w:p w14:paraId="38E5F708" w14:textId="77777777" w:rsidR="00F2646F" w:rsidRPr="00F2646F" w:rsidRDefault="00F2646F" w:rsidP="00F2646F">
      <w:pPr>
        <w:numPr>
          <w:ilvl w:val="0"/>
          <w:numId w:val="43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Lunghezza e geometria dei collegamenti tra SPD e dispositivi dell’impianto.</w:t>
      </w:r>
    </w:p>
    <w:p w14:paraId="1C1C9380" w14:textId="77777777" w:rsidR="00014B14" w:rsidRDefault="00014B14" w:rsidP="00F2646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6942C8B8" w14:textId="3A885B1F" w:rsidR="00F2646F" w:rsidRPr="00F2646F" w:rsidRDefault="00F2646F" w:rsidP="00F2646F">
      <w:pPr>
        <w:rPr>
          <w:rFonts w:ascii="Aptos Narrow" w:eastAsia="Aptos" w:hAnsi="Aptos Narrow"/>
          <w:kern w:val="2"/>
          <w:sz w:val="22"/>
          <w:szCs w:val="22"/>
          <w:u w:val="single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u w:val="single"/>
          <w:lang w:eastAsia="en-US"/>
        </w:rPr>
        <w:t>Implicazioni per gli edifici scolastici</w:t>
      </w:r>
    </w:p>
    <w:p w14:paraId="421B1A61" w14:textId="0DAA3545" w:rsidR="00F2646F" w:rsidRPr="00F2646F" w:rsidRDefault="00F2646F" w:rsidP="00F2646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Le scuole possiedono caratteristiche che richiedono attenzione specifica:</w:t>
      </w:r>
    </w:p>
    <w:p w14:paraId="24CFC56B" w14:textId="77777777" w:rsidR="00F2646F" w:rsidRPr="00F2646F" w:rsidRDefault="00F2646F" w:rsidP="00F2646F">
      <w:pPr>
        <w:numPr>
          <w:ilvl w:val="0"/>
          <w:numId w:val="44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lastRenderedPageBreak/>
        <w:t>presenza di laboratori informatici, server LAN e reti didattiche;</w:t>
      </w:r>
    </w:p>
    <w:p w14:paraId="51D56CF7" w14:textId="77777777" w:rsidR="00F2646F" w:rsidRPr="00F2646F" w:rsidRDefault="00F2646F" w:rsidP="00F2646F">
      <w:pPr>
        <w:numPr>
          <w:ilvl w:val="0"/>
          <w:numId w:val="44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continuità di servizio per sistemi di sicurezza, illuminazione di emergenza, gestione accessi;</w:t>
      </w:r>
    </w:p>
    <w:p w14:paraId="03C22A6F" w14:textId="77777777" w:rsidR="00F2646F" w:rsidRPr="00F2646F" w:rsidRDefault="00F2646F" w:rsidP="00F2646F">
      <w:pPr>
        <w:numPr>
          <w:ilvl w:val="0"/>
          <w:numId w:val="44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installazione crescente di punti di ricarica EV;</w:t>
      </w:r>
    </w:p>
    <w:p w14:paraId="4AE28A9D" w14:textId="77777777" w:rsidR="00F2646F" w:rsidRPr="00F2646F" w:rsidRDefault="00F2646F" w:rsidP="00F2646F">
      <w:pPr>
        <w:numPr>
          <w:ilvl w:val="0"/>
          <w:numId w:val="44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F2646F">
        <w:rPr>
          <w:rFonts w:ascii="Aptos Narrow" w:eastAsia="Aptos" w:hAnsi="Aptos Narrow"/>
          <w:kern w:val="2"/>
          <w:sz w:val="22"/>
          <w:szCs w:val="22"/>
          <w:lang w:eastAsia="en-US"/>
        </w:rPr>
        <w:t>elevata concentrazione di persone secondo quanto indicato dal punto d) dell’art. 443.4.</w:t>
      </w:r>
    </w:p>
    <w:p w14:paraId="2D89DC3E" w14:textId="77777777" w:rsidR="00FB7998" w:rsidRDefault="00FB7998" w:rsidP="00D609D4">
      <w:pPr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</w:pPr>
    </w:p>
    <w:p w14:paraId="2C7ADFA0" w14:textId="20AC22A7" w:rsidR="00D609D4" w:rsidRDefault="00D609D4" w:rsidP="00423063">
      <w:pPr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</w:pPr>
      <w:r w:rsidRPr="00D609D4"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  <w:t xml:space="preserve">4. </w:t>
      </w:r>
      <w:r w:rsidR="009C7BD0" w:rsidRPr="009C7BD0"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  <w:t>Applicazione agli impianti scolastici</w:t>
      </w:r>
    </w:p>
    <w:p w14:paraId="7B672DE2" w14:textId="77777777" w:rsidR="0077002D" w:rsidRDefault="0077002D" w:rsidP="00423063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57C3A00B" w14:textId="77777777" w:rsidR="009C7BD0" w:rsidRPr="009C7BD0" w:rsidRDefault="009C7BD0" w:rsidP="009C7BD0">
      <w:pPr>
        <w:rPr>
          <w:rFonts w:ascii="Aptos Narrow" w:eastAsia="Aptos" w:hAnsi="Aptos Narrow"/>
          <w:kern w:val="2"/>
          <w:sz w:val="22"/>
          <w:szCs w:val="22"/>
          <w:u w:val="single"/>
          <w:lang w:eastAsia="en-US"/>
        </w:rPr>
      </w:pPr>
      <w:r w:rsidRPr="009C7BD0">
        <w:rPr>
          <w:rFonts w:ascii="Aptos Narrow" w:eastAsia="Aptos" w:hAnsi="Aptos Narrow"/>
          <w:kern w:val="2"/>
          <w:sz w:val="22"/>
          <w:szCs w:val="22"/>
          <w:u w:val="single"/>
          <w:lang w:eastAsia="en-US"/>
        </w:rPr>
        <w:t>4.1 Protezione del quadro generale</w:t>
      </w:r>
    </w:p>
    <w:p w14:paraId="06DFBCB0" w14:textId="77777777" w:rsidR="009C7BD0" w:rsidRDefault="009C7BD0" w:rsidP="009C7BD0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9C7BD0">
        <w:rPr>
          <w:rFonts w:ascii="Aptos Narrow" w:eastAsia="Aptos" w:hAnsi="Aptos Narrow"/>
          <w:kern w:val="2"/>
          <w:sz w:val="22"/>
          <w:szCs w:val="22"/>
          <w:lang w:eastAsia="en-US"/>
        </w:rPr>
        <w:t>In prossimità del quadro di arrivo dell’energia devono essere installati SPD adeguati al livello dell’impianto (tipicamente SPD Tipo 1+2 in presenza di LPS esterno o rischio fulminazione, oppure SPD Tipo 2 in assenza).</w:t>
      </w:r>
    </w:p>
    <w:p w14:paraId="085D196B" w14:textId="77777777" w:rsidR="00014B14" w:rsidRPr="009C7BD0" w:rsidRDefault="00014B14" w:rsidP="009C7BD0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5056549F" w14:textId="77777777" w:rsidR="009C7BD0" w:rsidRPr="009C7BD0" w:rsidRDefault="009C7BD0" w:rsidP="009C7BD0">
      <w:pPr>
        <w:rPr>
          <w:rFonts w:ascii="Aptos Narrow" w:eastAsia="Aptos" w:hAnsi="Aptos Narrow"/>
          <w:kern w:val="2"/>
          <w:sz w:val="22"/>
          <w:szCs w:val="22"/>
          <w:u w:val="single"/>
          <w:lang w:eastAsia="en-US"/>
        </w:rPr>
      </w:pPr>
      <w:r w:rsidRPr="009C7BD0">
        <w:rPr>
          <w:rFonts w:ascii="Aptos Narrow" w:eastAsia="Aptos" w:hAnsi="Aptos Narrow"/>
          <w:kern w:val="2"/>
          <w:sz w:val="22"/>
          <w:szCs w:val="22"/>
          <w:u w:val="single"/>
          <w:lang w:eastAsia="en-US"/>
        </w:rPr>
        <w:t>4.2 Protezione delle sottostazioni (laboratori, IT, aree sensibili)</w:t>
      </w:r>
    </w:p>
    <w:p w14:paraId="1AF949CE" w14:textId="77777777" w:rsidR="009C7BD0" w:rsidRPr="009C7BD0" w:rsidRDefault="009C7BD0" w:rsidP="009C7BD0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9C7BD0">
        <w:rPr>
          <w:rFonts w:ascii="Aptos Narrow" w:eastAsia="Aptos" w:hAnsi="Aptos Narrow"/>
          <w:kern w:val="2"/>
          <w:sz w:val="22"/>
          <w:szCs w:val="22"/>
          <w:lang w:eastAsia="en-US"/>
        </w:rPr>
        <w:t>Le lunghezze delle linee e la presenza di apparecchiature sensibili richiedono ulteriori SPD coordinati a cascata.</w:t>
      </w:r>
    </w:p>
    <w:p w14:paraId="689128D8" w14:textId="77777777" w:rsidR="009C7BD0" w:rsidRPr="009C7BD0" w:rsidRDefault="009C7BD0" w:rsidP="009C7BD0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9C7BD0">
        <w:rPr>
          <w:rFonts w:ascii="Aptos Narrow" w:eastAsia="Aptos" w:hAnsi="Aptos Narrow"/>
          <w:kern w:val="2"/>
          <w:sz w:val="22"/>
          <w:szCs w:val="22"/>
          <w:lang w:eastAsia="en-US"/>
        </w:rPr>
        <w:t>Esempi tipici:</w:t>
      </w:r>
    </w:p>
    <w:p w14:paraId="23D8CB79" w14:textId="77777777" w:rsidR="009C7BD0" w:rsidRPr="009C7BD0" w:rsidRDefault="009C7BD0" w:rsidP="009C7BD0">
      <w:pPr>
        <w:numPr>
          <w:ilvl w:val="0"/>
          <w:numId w:val="45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9C7BD0">
        <w:rPr>
          <w:rFonts w:ascii="Aptos Narrow" w:eastAsia="Aptos" w:hAnsi="Aptos Narrow"/>
          <w:kern w:val="2"/>
          <w:sz w:val="22"/>
          <w:szCs w:val="22"/>
          <w:lang w:eastAsia="en-US"/>
        </w:rPr>
        <w:t>quadri di piano dedicati ai laboratori informatici;</w:t>
      </w:r>
    </w:p>
    <w:p w14:paraId="4F02B51A" w14:textId="77777777" w:rsidR="009C7BD0" w:rsidRPr="009C7BD0" w:rsidRDefault="009C7BD0" w:rsidP="009C7BD0">
      <w:pPr>
        <w:numPr>
          <w:ilvl w:val="0"/>
          <w:numId w:val="45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9C7BD0">
        <w:rPr>
          <w:rFonts w:ascii="Aptos Narrow" w:eastAsia="Aptos" w:hAnsi="Aptos Narrow"/>
          <w:kern w:val="2"/>
          <w:sz w:val="22"/>
          <w:szCs w:val="22"/>
          <w:lang w:eastAsia="en-US"/>
        </w:rPr>
        <w:t>sistemi di controllo accessi e videosorveglianza;</w:t>
      </w:r>
    </w:p>
    <w:p w14:paraId="35EA7F9C" w14:textId="77777777" w:rsidR="009C7BD0" w:rsidRPr="009C7BD0" w:rsidRDefault="009C7BD0" w:rsidP="009C7BD0">
      <w:pPr>
        <w:numPr>
          <w:ilvl w:val="0"/>
          <w:numId w:val="45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9C7BD0">
        <w:rPr>
          <w:rFonts w:ascii="Aptos Narrow" w:eastAsia="Aptos" w:hAnsi="Aptos Narrow"/>
          <w:kern w:val="2"/>
          <w:sz w:val="22"/>
          <w:szCs w:val="22"/>
          <w:lang w:eastAsia="en-US"/>
        </w:rPr>
        <w:t>quadri per infrastrutture di rete scolastica;</w:t>
      </w:r>
    </w:p>
    <w:p w14:paraId="002E635C" w14:textId="77777777" w:rsidR="009C7BD0" w:rsidRDefault="009C7BD0" w:rsidP="009C7BD0">
      <w:pPr>
        <w:numPr>
          <w:ilvl w:val="0"/>
          <w:numId w:val="45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9C7BD0">
        <w:rPr>
          <w:rFonts w:ascii="Aptos Narrow" w:eastAsia="Aptos" w:hAnsi="Aptos Narrow"/>
          <w:kern w:val="2"/>
          <w:sz w:val="22"/>
          <w:szCs w:val="22"/>
          <w:lang w:eastAsia="en-US"/>
        </w:rPr>
        <w:t>strumenti elettromedicali in strutture scolastiche particolari (palestre con defibrillatori, laboratori sanitari).</w:t>
      </w:r>
    </w:p>
    <w:p w14:paraId="2E4D5A7E" w14:textId="77777777" w:rsidR="00014B14" w:rsidRPr="009C7BD0" w:rsidRDefault="00014B14" w:rsidP="00014B14">
      <w:pPr>
        <w:ind w:left="720"/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0EA6722D" w14:textId="77777777" w:rsidR="009C7BD0" w:rsidRPr="009C7BD0" w:rsidRDefault="009C7BD0" w:rsidP="009C7BD0">
      <w:pPr>
        <w:rPr>
          <w:rFonts w:ascii="Aptos Narrow" w:eastAsia="Aptos" w:hAnsi="Aptos Narrow"/>
          <w:kern w:val="2"/>
          <w:sz w:val="22"/>
          <w:szCs w:val="22"/>
          <w:u w:val="single"/>
          <w:lang w:eastAsia="en-US"/>
        </w:rPr>
      </w:pPr>
      <w:r w:rsidRPr="009C7BD0">
        <w:rPr>
          <w:rFonts w:ascii="Aptos Narrow" w:eastAsia="Aptos" w:hAnsi="Aptos Narrow"/>
          <w:kern w:val="2"/>
          <w:sz w:val="22"/>
          <w:szCs w:val="22"/>
          <w:u w:val="single"/>
          <w:lang w:eastAsia="en-US"/>
        </w:rPr>
        <w:t>4.3 Punti di ricarica per veicoli elettrici (EV)</w:t>
      </w:r>
    </w:p>
    <w:p w14:paraId="2276F334" w14:textId="672D37B9" w:rsidR="009C7BD0" w:rsidRPr="009C7BD0" w:rsidRDefault="009C7BD0" w:rsidP="009C7BD0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9C7BD0">
        <w:rPr>
          <w:rFonts w:ascii="Aptos Narrow" w:eastAsia="Aptos" w:hAnsi="Aptos Narrow"/>
          <w:kern w:val="2"/>
          <w:sz w:val="22"/>
          <w:szCs w:val="22"/>
          <w:lang w:eastAsia="en-US"/>
        </w:rPr>
        <w:t>L’obbligo normativo è chiaro: tutti i punti di ricarica accessibili al pubblico devono essere protetti.</w:t>
      </w:r>
      <w:r w:rsidRPr="009C7BD0">
        <w:rPr>
          <w:rFonts w:ascii="Aptos Narrow" w:eastAsia="Aptos" w:hAnsi="Aptos Narrow"/>
          <w:kern w:val="2"/>
          <w:sz w:val="22"/>
          <w:szCs w:val="22"/>
          <w:lang w:eastAsia="en-US"/>
        </w:rPr>
        <w:br/>
        <w:t>Per garantire l’integrità del veicolo e dell’infrastruttura di ricarica, si raccomanda l’installazione di SPD dedicati sul circuito di alimentazione, secondo quanto riportato nella sezione di premessa del documento tecnico originale.</w:t>
      </w:r>
    </w:p>
    <w:p w14:paraId="5D59FC0E" w14:textId="77777777" w:rsidR="00A114CD" w:rsidRDefault="00A114CD" w:rsidP="00A114CD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71422EE6" w14:textId="19B9B549" w:rsidR="00CB19E2" w:rsidRDefault="00D609D4" w:rsidP="00CB19E2">
      <w:pPr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</w:pPr>
      <w:r w:rsidRPr="00D609D4"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  <w:t xml:space="preserve">5. </w:t>
      </w:r>
      <w:r w:rsidR="00014B14" w:rsidRPr="00014B14"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  <w:t>Conclusioni</w:t>
      </w:r>
    </w:p>
    <w:p w14:paraId="65DA5633" w14:textId="77777777" w:rsidR="00014B14" w:rsidRDefault="00014B14" w:rsidP="00CB19E2">
      <w:pPr>
        <w:rPr>
          <w:rFonts w:ascii="Aptos Narrow" w:eastAsia="Aptos" w:hAnsi="Aptos Narrow"/>
          <w:b/>
          <w:bCs/>
          <w:kern w:val="2"/>
          <w:sz w:val="22"/>
          <w:szCs w:val="22"/>
          <w:lang w:eastAsia="en-US"/>
        </w:rPr>
      </w:pPr>
    </w:p>
    <w:p w14:paraId="5EF87A8F" w14:textId="77777777" w:rsidR="00014B14" w:rsidRPr="00014B14" w:rsidRDefault="00014B14" w:rsidP="00014B14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014B14">
        <w:rPr>
          <w:rFonts w:ascii="Aptos Narrow" w:eastAsia="Aptos" w:hAnsi="Aptos Narrow"/>
          <w:kern w:val="2"/>
          <w:sz w:val="22"/>
          <w:szCs w:val="22"/>
          <w:lang w:eastAsia="en-US"/>
        </w:rPr>
        <w:t>Alla luce dell’analisi normativa e tecnica, la protezione contro le sovratensioni negli impianti elettrici scolastici deve essere considerata necessaria e prioritaria, in quanto:</w:t>
      </w:r>
    </w:p>
    <w:p w14:paraId="7D82A8D8" w14:textId="77777777" w:rsidR="00014B14" w:rsidRPr="00014B14" w:rsidRDefault="00014B14" w:rsidP="00014B14">
      <w:pPr>
        <w:numPr>
          <w:ilvl w:val="0"/>
          <w:numId w:val="46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014B14">
        <w:rPr>
          <w:rFonts w:ascii="Aptos Narrow" w:eastAsia="Aptos" w:hAnsi="Aptos Narrow"/>
          <w:kern w:val="2"/>
          <w:sz w:val="22"/>
          <w:szCs w:val="22"/>
          <w:lang w:eastAsia="en-US"/>
        </w:rPr>
        <w:t>garantisce la sicurezza degli utenti e l’integrità delle apparecchiature;</w:t>
      </w:r>
    </w:p>
    <w:p w14:paraId="18947210" w14:textId="77777777" w:rsidR="00014B14" w:rsidRPr="00014B14" w:rsidRDefault="00014B14" w:rsidP="00014B14">
      <w:pPr>
        <w:numPr>
          <w:ilvl w:val="0"/>
          <w:numId w:val="46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014B14">
        <w:rPr>
          <w:rFonts w:ascii="Aptos Narrow" w:eastAsia="Aptos" w:hAnsi="Aptos Narrow"/>
          <w:kern w:val="2"/>
          <w:sz w:val="22"/>
          <w:szCs w:val="22"/>
          <w:lang w:eastAsia="en-US"/>
        </w:rPr>
        <w:t>assicura la continuità dei servizi tecnologici e didattici;</w:t>
      </w:r>
    </w:p>
    <w:p w14:paraId="11E89294" w14:textId="77777777" w:rsidR="00014B14" w:rsidRPr="00014B14" w:rsidRDefault="00014B14" w:rsidP="00014B14">
      <w:pPr>
        <w:numPr>
          <w:ilvl w:val="0"/>
          <w:numId w:val="46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014B14">
        <w:rPr>
          <w:rFonts w:ascii="Aptos Narrow" w:eastAsia="Aptos" w:hAnsi="Aptos Narrow"/>
          <w:kern w:val="2"/>
          <w:sz w:val="22"/>
          <w:szCs w:val="22"/>
          <w:lang w:eastAsia="en-US"/>
        </w:rPr>
        <w:t>è richiesta dalla Norma CEI 64-8 in tutte le situazioni in cui un gran numero di persone può essere esposto ai rischi correlati;</w:t>
      </w:r>
    </w:p>
    <w:p w14:paraId="224BE52D" w14:textId="77777777" w:rsidR="00014B14" w:rsidRPr="00014B14" w:rsidRDefault="00014B14" w:rsidP="00014B14">
      <w:pPr>
        <w:numPr>
          <w:ilvl w:val="0"/>
          <w:numId w:val="46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014B14">
        <w:rPr>
          <w:rFonts w:ascii="Aptos Narrow" w:eastAsia="Aptos" w:hAnsi="Aptos Narrow"/>
          <w:kern w:val="2"/>
          <w:sz w:val="22"/>
          <w:szCs w:val="22"/>
          <w:lang w:eastAsia="en-US"/>
        </w:rPr>
        <w:t>è obbligatoria per i punti di ricarica EV, anche non accessibili al pubblico.</w:t>
      </w:r>
    </w:p>
    <w:p w14:paraId="54A3A5AB" w14:textId="77777777" w:rsidR="00014B14" w:rsidRPr="00014B14" w:rsidRDefault="00014B14" w:rsidP="00014B14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014B14">
        <w:rPr>
          <w:rFonts w:ascii="Aptos Narrow" w:eastAsia="Aptos" w:hAnsi="Aptos Narrow"/>
          <w:kern w:val="2"/>
          <w:sz w:val="22"/>
          <w:szCs w:val="22"/>
          <w:lang w:eastAsia="en-US"/>
        </w:rPr>
        <w:t>Ogni SPD installato dovrà essere oggetto di valutazione riguardo:</w:t>
      </w:r>
    </w:p>
    <w:p w14:paraId="25178569" w14:textId="77777777" w:rsidR="00014B14" w:rsidRPr="00014B14" w:rsidRDefault="00014B14" w:rsidP="00014B14">
      <w:pPr>
        <w:numPr>
          <w:ilvl w:val="0"/>
          <w:numId w:val="47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014B14">
        <w:rPr>
          <w:rFonts w:ascii="Aptos Narrow" w:eastAsia="Aptos" w:hAnsi="Aptos Narrow"/>
          <w:kern w:val="2"/>
          <w:sz w:val="22"/>
          <w:szCs w:val="22"/>
          <w:lang w:eastAsia="en-US"/>
        </w:rPr>
        <w:t>necessità di protezione contro le sovracorrenti dedicate;</w:t>
      </w:r>
    </w:p>
    <w:p w14:paraId="1265E364" w14:textId="77777777" w:rsidR="00014B14" w:rsidRPr="00014B14" w:rsidRDefault="00014B14" w:rsidP="00014B14">
      <w:pPr>
        <w:numPr>
          <w:ilvl w:val="0"/>
          <w:numId w:val="47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014B14">
        <w:rPr>
          <w:rFonts w:ascii="Aptos Narrow" w:eastAsia="Aptos" w:hAnsi="Aptos Narrow"/>
          <w:kern w:val="2"/>
          <w:sz w:val="22"/>
          <w:szCs w:val="22"/>
          <w:lang w:eastAsia="en-US"/>
        </w:rPr>
        <w:t>corretto coordinamento energetico con gli SPD a monte;</w:t>
      </w:r>
    </w:p>
    <w:p w14:paraId="69D1296D" w14:textId="77777777" w:rsidR="00014B14" w:rsidRPr="00014B14" w:rsidRDefault="00014B14" w:rsidP="00014B14">
      <w:pPr>
        <w:numPr>
          <w:ilvl w:val="0"/>
          <w:numId w:val="47"/>
        </w:numPr>
        <w:rPr>
          <w:rFonts w:ascii="Aptos Narrow" w:eastAsia="Aptos" w:hAnsi="Aptos Narrow"/>
          <w:kern w:val="2"/>
          <w:sz w:val="22"/>
          <w:szCs w:val="22"/>
          <w:lang w:eastAsia="en-US"/>
        </w:rPr>
      </w:pPr>
      <w:r w:rsidRPr="00014B14">
        <w:rPr>
          <w:rFonts w:ascii="Aptos Narrow" w:eastAsia="Aptos" w:hAnsi="Aptos Narrow"/>
          <w:kern w:val="2"/>
          <w:sz w:val="22"/>
          <w:szCs w:val="22"/>
          <w:lang w:eastAsia="en-US"/>
        </w:rPr>
        <w:t>minimizzazione delle lunghezze dei collegamenti, come richiamato dalla Norma.</w:t>
      </w:r>
    </w:p>
    <w:p w14:paraId="13AB2216" w14:textId="77777777" w:rsidR="00997BCE" w:rsidRPr="00014B14" w:rsidRDefault="00997BCE" w:rsidP="00997BCE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776B2ADB" w14:textId="77777777" w:rsidR="00B95B16" w:rsidRDefault="00B95B16" w:rsidP="00997BCE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7C600F96" w14:textId="77777777" w:rsidR="00B95B16" w:rsidRDefault="00B95B16" w:rsidP="00997BCE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7F2CB167" w14:textId="77777777" w:rsidR="00B95B16" w:rsidRDefault="00B95B16" w:rsidP="00997BCE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p w14:paraId="16747D8A" w14:textId="77777777" w:rsidR="00B95B16" w:rsidRPr="00997BCE" w:rsidRDefault="00B95B16" w:rsidP="00997BCE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tbl>
      <w:tblPr>
        <w:tblStyle w:val="Grigliatabellachiara"/>
        <w:tblW w:w="9356" w:type="dxa"/>
        <w:tblInd w:w="108" w:type="dxa"/>
        <w:tblLook w:val="04A0" w:firstRow="1" w:lastRow="0" w:firstColumn="1" w:lastColumn="0" w:noHBand="0" w:noVBand="1"/>
      </w:tblPr>
      <w:tblGrid>
        <w:gridCol w:w="2539"/>
        <w:gridCol w:w="2368"/>
        <w:gridCol w:w="4449"/>
      </w:tblGrid>
      <w:tr w:rsidR="00A34B0D" w14:paraId="6EF08045" w14:textId="77777777" w:rsidTr="00A34B0D">
        <w:trPr>
          <w:trHeight w:val="346"/>
        </w:trPr>
        <w:tc>
          <w:tcPr>
            <w:tcW w:w="25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E1C3576" w14:textId="77777777" w:rsidR="00A34B0D" w:rsidRDefault="00A34B0D">
            <w:pPr>
              <w:spacing w:line="256" w:lineRule="auto"/>
              <w:rPr>
                <w:b/>
                <w:bCs/>
                <w:noProof/>
                <w:color w:val="F79646" w:themeColor="accent6"/>
                <w:sz w:val="24"/>
                <w:szCs w:val="24"/>
                <w:lang w:val="en-US"/>
              </w:rPr>
            </w:pPr>
            <w:r>
              <w:rPr>
                <w:b/>
                <w:bCs/>
                <w:noProof/>
                <w:color w:val="F79646" w:themeColor="accent6"/>
                <w:lang w:val="en-US"/>
              </w:rPr>
              <w:t>Rev.</w:t>
            </w:r>
          </w:p>
        </w:tc>
        <w:tc>
          <w:tcPr>
            <w:tcW w:w="23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B3BB029" w14:textId="77777777" w:rsidR="00A34B0D" w:rsidRDefault="00A34B0D">
            <w:pPr>
              <w:spacing w:line="256" w:lineRule="auto"/>
              <w:rPr>
                <w:b/>
                <w:bCs/>
                <w:noProof/>
                <w:color w:val="F79646" w:themeColor="accent6"/>
                <w:lang w:val="en-US"/>
              </w:rPr>
            </w:pPr>
            <w:r>
              <w:rPr>
                <w:b/>
                <w:bCs/>
                <w:noProof/>
                <w:color w:val="F79646" w:themeColor="accent6"/>
                <w:lang w:val="en-US"/>
              </w:rPr>
              <w:t>Data</w:t>
            </w:r>
          </w:p>
        </w:tc>
        <w:tc>
          <w:tcPr>
            <w:tcW w:w="444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BE1C288" w14:textId="77777777" w:rsidR="00A34B0D" w:rsidRDefault="00A34B0D">
            <w:pPr>
              <w:spacing w:line="256" w:lineRule="auto"/>
              <w:rPr>
                <w:b/>
                <w:bCs/>
                <w:noProof/>
                <w:color w:val="F79646" w:themeColor="accent6"/>
                <w:lang w:val="en-US"/>
              </w:rPr>
            </w:pPr>
            <w:r>
              <w:rPr>
                <w:b/>
                <w:bCs/>
                <w:noProof/>
                <w:color w:val="F79646" w:themeColor="accent6"/>
                <w:lang w:val="en-US"/>
              </w:rPr>
              <w:t>Descrizione</w:t>
            </w:r>
          </w:p>
        </w:tc>
      </w:tr>
      <w:tr w:rsidR="00A34B0D" w14:paraId="5B384024" w14:textId="77777777" w:rsidTr="00A34B0D">
        <w:trPr>
          <w:trHeight w:val="346"/>
        </w:trPr>
        <w:tc>
          <w:tcPr>
            <w:tcW w:w="25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B75BEFF" w14:textId="77777777" w:rsidR="00A34B0D" w:rsidRDefault="00A34B0D">
            <w:pPr>
              <w:spacing w:line="256" w:lineRule="auto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00</w:t>
            </w:r>
          </w:p>
        </w:tc>
        <w:tc>
          <w:tcPr>
            <w:tcW w:w="23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F2CEDB8" w14:textId="77777777" w:rsidR="00A34B0D" w:rsidRDefault="00A34B0D">
            <w:pPr>
              <w:spacing w:line="256" w:lineRule="auto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10/11/2025</w:t>
            </w:r>
          </w:p>
        </w:tc>
        <w:tc>
          <w:tcPr>
            <w:tcW w:w="444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9A85E58" w14:textId="77777777" w:rsidR="00A34B0D" w:rsidRDefault="00A34B0D">
            <w:pPr>
              <w:spacing w:line="256" w:lineRule="auto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Prima emissione</w:t>
            </w:r>
          </w:p>
        </w:tc>
      </w:tr>
    </w:tbl>
    <w:p w14:paraId="55D652A9" w14:textId="7D9074D7" w:rsidR="00907A95" w:rsidRPr="003C1DB5" w:rsidRDefault="00907A95" w:rsidP="002764DF">
      <w:pPr>
        <w:rPr>
          <w:rFonts w:ascii="Aptos Narrow" w:eastAsia="Aptos" w:hAnsi="Aptos Narrow"/>
          <w:kern w:val="2"/>
          <w:sz w:val="22"/>
          <w:szCs w:val="22"/>
          <w:lang w:eastAsia="en-US"/>
        </w:rPr>
      </w:pPr>
    </w:p>
    <w:sectPr w:rsidR="00907A95" w:rsidRPr="003C1DB5" w:rsidSect="00FA754C">
      <w:headerReference w:type="default" r:id="rId7"/>
      <w:footerReference w:type="default" r:id="rId8"/>
      <w:pgSz w:w="11906" w:h="16838" w:code="9"/>
      <w:pgMar w:top="2232" w:right="1133" w:bottom="2835" w:left="1418" w:header="56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A3CDF" w14:textId="77777777" w:rsidR="00576B72" w:rsidRDefault="00576B72">
      <w:r>
        <w:separator/>
      </w:r>
    </w:p>
  </w:endnote>
  <w:endnote w:type="continuationSeparator" w:id="0">
    <w:p w14:paraId="26130C7F" w14:textId="77777777" w:rsidR="00576B72" w:rsidRDefault="0057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A277" w14:textId="77777777" w:rsidR="00B066CF" w:rsidRDefault="00B066CF" w:rsidP="00B066CF">
    <w:pPr>
      <w:pStyle w:val="Pidipagina"/>
      <w:rPr>
        <w:rFonts w:ascii="Arial" w:hAnsi="Arial" w:cs="Arial"/>
        <w:b/>
        <w:bCs/>
        <w:sz w:val="18"/>
        <w:szCs w:val="18"/>
        <w:lang w:val="it-IT"/>
      </w:rPr>
    </w:pPr>
    <w:r w:rsidRPr="00BA1F8A">
      <w:rPr>
        <w:rFonts w:ascii="Arial" w:hAnsi="Arial" w:cs="Arial"/>
        <w:b/>
        <w:bCs/>
        <w:sz w:val="18"/>
        <w:szCs w:val="18"/>
        <w:lang w:val="it-IT"/>
      </w:rPr>
      <w:t xml:space="preserve"> </w:t>
    </w:r>
    <w:r>
      <w:rPr>
        <w:rFonts w:ascii="Arial" w:hAnsi="Arial" w:cs="Arial"/>
        <w:b/>
        <w:bCs/>
        <w:sz w:val="18"/>
        <w:szCs w:val="18"/>
        <w:lang w:val="it-IT"/>
      </w:rPr>
      <w:t>_____________________________________________________________________________________________</w:t>
    </w:r>
  </w:p>
  <w:p w14:paraId="2C66A278" w14:textId="77777777" w:rsidR="00B066CF" w:rsidRDefault="00B066CF" w:rsidP="00B066CF">
    <w:pPr>
      <w:pStyle w:val="Pidipagina"/>
      <w:tabs>
        <w:tab w:val="clear" w:pos="4819"/>
      </w:tabs>
      <w:rPr>
        <w:rFonts w:ascii="Arial" w:hAnsi="Arial" w:cs="Arial"/>
        <w:b/>
        <w:bCs/>
        <w:sz w:val="18"/>
        <w:szCs w:val="18"/>
        <w:lang w:val="it-IT"/>
      </w:rPr>
    </w:pPr>
    <w:r>
      <w:rPr>
        <w:rFonts w:ascii="Arial" w:hAnsi="Arial" w:cs="Arial"/>
        <w:b/>
        <w:bCs/>
        <w:sz w:val="18"/>
        <w:szCs w:val="18"/>
        <w:lang w:val="it-IT"/>
      </w:rPr>
      <w:t xml:space="preserve"> </w:t>
    </w:r>
  </w:p>
  <w:p w14:paraId="2C66A279" w14:textId="77777777" w:rsidR="00B066CF" w:rsidRPr="00B25159" w:rsidRDefault="00B066CF" w:rsidP="00B066CF">
    <w:pPr>
      <w:pStyle w:val="Pidipagina"/>
      <w:tabs>
        <w:tab w:val="clear" w:pos="4819"/>
        <w:tab w:val="left" w:pos="2520"/>
        <w:tab w:val="left" w:pos="5040"/>
        <w:tab w:val="left" w:pos="7560"/>
      </w:tabs>
      <w:rPr>
        <w:rFonts w:ascii="Arial Narrow" w:hAnsi="Arial Narrow" w:cs="Arial Narrow"/>
        <w:b/>
        <w:bCs/>
        <w:sz w:val="18"/>
        <w:szCs w:val="18"/>
        <w:lang w:val="it-IT"/>
      </w:rPr>
    </w:pPr>
    <w:r>
      <w:rPr>
        <w:rFonts w:ascii="Arial" w:hAnsi="Arial" w:cs="Arial"/>
        <w:b/>
        <w:bCs/>
        <w:sz w:val="18"/>
        <w:szCs w:val="18"/>
        <w:lang w:val="it-IT"/>
      </w:rPr>
      <w:t xml:space="preserve"> </w:t>
    </w:r>
    <w:r w:rsidRPr="00B25159">
      <w:rPr>
        <w:rFonts w:ascii="Arial Narrow" w:hAnsi="Arial Narrow" w:cs="Arial Narrow"/>
        <w:b/>
        <w:bCs/>
        <w:sz w:val="18"/>
        <w:szCs w:val="18"/>
        <w:lang w:val="it-IT"/>
      </w:rPr>
      <w:t xml:space="preserve">BTicino </w:t>
    </w:r>
    <w:proofErr w:type="spellStart"/>
    <w:r w:rsidRPr="00B25159">
      <w:rPr>
        <w:rFonts w:ascii="Arial Narrow" w:hAnsi="Arial Narrow" w:cs="Arial Narrow"/>
        <w:sz w:val="18"/>
        <w:szCs w:val="18"/>
        <w:lang w:val="it-IT"/>
      </w:rPr>
      <w:t>SpA</w:t>
    </w:r>
    <w:proofErr w:type="spellEnd"/>
    <w:r w:rsidRPr="00B25159">
      <w:rPr>
        <w:rFonts w:ascii="Arial Narrow" w:hAnsi="Arial Narrow" w:cs="Arial Narrow"/>
        <w:sz w:val="18"/>
        <w:szCs w:val="18"/>
        <w:lang w:val="it-IT"/>
      </w:rPr>
      <w:tab/>
      <w:t xml:space="preserve">Capitale Sociale euro 98.800.000 </w:t>
    </w:r>
    <w:proofErr w:type="spellStart"/>
    <w:r w:rsidRPr="00B25159">
      <w:rPr>
        <w:rFonts w:ascii="Arial Narrow" w:hAnsi="Arial Narrow" w:cs="Arial Narrow"/>
        <w:sz w:val="18"/>
        <w:szCs w:val="18"/>
        <w:lang w:val="it-IT"/>
      </w:rPr>
      <w:t>i.v</w:t>
    </w:r>
    <w:proofErr w:type="spellEnd"/>
    <w:r w:rsidRPr="00B25159">
      <w:rPr>
        <w:rFonts w:ascii="Arial Narrow" w:hAnsi="Arial Narrow" w:cs="Arial Narrow"/>
        <w:sz w:val="18"/>
        <w:szCs w:val="18"/>
        <w:lang w:val="it-IT"/>
      </w:rPr>
      <w:t>.</w:t>
    </w:r>
    <w:r w:rsidRPr="00B25159">
      <w:rPr>
        <w:rFonts w:ascii="Arial Narrow" w:hAnsi="Arial Narrow" w:cs="Arial Narrow"/>
        <w:sz w:val="18"/>
        <w:szCs w:val="18"/>
        <w:lang w:val="it-IT"/>
      </w:rPr>
      <w:tab/>
    </w:r>
  </w:p>
  <w:p w14:paraId="2C66A27A" w14:textId="77777777" w:rsidR="00B066CF" w:rsidRPr="00B25159" w:rsidRDefault="00B066CF" w:rsidP="00B066CF">
    <w:pPr>
      <w:pStyle w:val="Pidipagina"/>
      <w:tabs>
        <w:tab w:val="clear" w:pos="4819"/>
        <w:tab w:val="left" w:pos="2520"/>
        <w:tab w:val="left" w:pos="5040"/>
        <w:tab w:val="left" w:pos="7560"/>
      </w:tabs>
      <w:rPr>
        <w:rFonts w:ascii="Arial Narrow" w:hAnsi="Arial Narrow" w:cs="Arial Narrow"/>
        <w:sz w:val="18"/>
        <w:szCs w:val="18"/>
        <w:lang w:val="it-IT"/>
      </w:rPr>
    </w:pPr>
    <w:r w:rsidRPr="00B25159">
      <w:rPr>
        <w:rFonts w:ascii="Arial Narrow" w:hAnsi="Arial Narrow" w:cs="Arial Narrow"/>
        <w:sz w:val="18"/>
        <w:szCs w:val="18"/>
        <w:lang w:val="it-IT"/>
      </w:rPr>
      <w:t xml:space="preserve"> Via</w:t>
    </w:r>
    <w:r w:rsidR="00645F2D">
      <w:rPr>
        <w:rFonts w:ascii="Arial Narrow" w:hAnsi="Arial Narrow" w:cs="Arial Narrow"/>
        <w:sz w:val="18"/>
        <w:szCs w:val="18"/>
        <w:lang w:val="it-IT"/>
      </w:rPr>
      <w:t>le Borri, 231</w:t>
    </w:r>
    <w:r w:rsidRPr="00B25159">
      <w:rPr>
        <w:rFonts w:ascii="Arial Narrow" w:hAnsi="Arial Narrow" w:cs="Arial Narrow"/>
        <w:sz w:val="18"/>
        <w:szCs w:val="18"/>
        <w:lang w:val="it-IT"/>
      </w:rPr>
      <w:tab/>
      <w:t xml:space="preserve">R.I. </w:t>
    </w:r>
    <w:r w:rsidR="00645F2D">
      <w:rPr>
        <w:rFonts w:ascii="Arial Narrow" w:hAnsi="Arial Narrow" w:cs="Arial Narrow"/>
        <w:sz w:val="18"/>
        <w:szCs w:val="18"/>
        <w:lang w:val="it-IT"/>
      </w:rPr>
      <w:t>Varese</w:t>
    </w:r>
    <w:r w:rsidRPr="00B25159">
      <w:rPr>
        <w:rFonts w:ascii="Arial Narrow" w:hAnsi="Arial Narrow" w:cs="Arial Narrow"/>
        <w:sz w:val="18"/>
        <w:szCs w:val="18"/>
        <w:lang w:val="it-IT"/>
      </w:rPr>
      <w:t xml:space="preserve"> e C.F. 10991860155</w:t>
    </w:r>
    <w:r w:rsidRPr="00B25159">
      <w:rPr>
        <w:rFonts w:ascii="Arial Narrow" w:hAnsi="Arial Narrow" w:cs="Arial Narrow"/>
        <w:sz w:val="18"/>
        <w:szCs w:val="18"/>
        <w:lang w:val="it-IT"/>
      </w:rPr>
      <w:tab/>
    </w:r>
    <w:r w:rsidRPr="00B25159">
      <w:rPr>
        <w:rFonts w:ascii="Arial Narrow" w:hAnsi="Arial Narrow" w:cs="Arial Narrow"/>
        <w:sz w:val="18"/>
        <w:szCs w:val="18"/>
        <w:lang w:val="it-IT"/>
      </w:rPr>
      <w:tab/>
    </w:r>
  </w:p>
  <w:p w14:paraId="2C66A27B" w14:textId="77777777" w:rsidR="00B066CF" w:rsidRPr="00B25159" w:rsidRDefault="00B066CF" w:rsidP="00B066CF">
    <w:pPr>
      <w:pStyle w:val="Pidipagina"/>
      <w:tabs>
        <w:tab w:val="clear" w:pos="4819"/>
        <w:tab w:val="left" w:pos="2520"/>
        <w:tab w:val="left" w:pos="5040"/>
        <w:tab w:val="left" w:pos="7560"/>
      </w:tabs>
      <w:rPr>
        <w:rFonts w:ascii="Arial Narrow" w:hAnsi="Arial Narrow" w:cs="Arial Narrow"/>
        <w:sz w:val="18"/>
        <w:szCs w:val="18"/>
        <w:lang w:val="it-IT"/>
      </w:rPr>
    </w:pPr>
    <w:r w:rsidRPr="00B25159">
      <w:rPr>
        <w:rFonts w:ascii="Arial Narrow" w:hAnsi="Arial Narrow" w:cs="Arial Narrow"/>
        <w:sz w:val="18"/>
        <w:szCs w:val="18"/>
        <w:lang w:val="it-IT"/>
      </w:rPr>
      <w:t xml:space="preserve"> 201</w:t>
    </w:r>
    <w:r w:rsidR="00645F2D">
      <w:rPr>
        <w:rFonts w:ascii="Arial Narrow" w:hAnsi="Arial Narrow" w:cs="Arial Narrow"/>
        <w:sz w:val="18"/>
        <w:szCs w:val="18"/>
        <w:lang w:val="it-IT"/>
      </w:rPr>
      <w:t>00</w:t>
    </w:r>
    <w:r w:rsidRPr="00B25159">
      <w:rPr>
        <w:rFonts w:ascii="Arial Narrow" w:hAnsi="Arial Narrow" w:cs="Arial Narrow"/>
        <w:sz w:val="18"/>
        <w:szCs w:val="18"/>
        <w:lang w:val="it-IT"/>
      </w:rPr>
      <w:t xml:space="preserve"> </w:t>
    </w:r>
    <w:r w:rsidR="00645F2D">
      <w:rPr>
        <w:rFonts w:ascii="Arial Narrow" w:hAnsi="Arial Narrow" w:cs="Arial Narrow"/>
        <w:sz w:val="18"/>
        <w:szCs w:val="18"/>
        <w:lang w:val="it-IT"/>
      </w:rPr>
      <w:t>Varese</w:t>
    </w:r>
    <w:r w:rsidRPr="00B25159">
      <w:rPr>
        <w:rFonts w:ascii="Arial Narrow" w:hAnsi="Arial Narrow" w:cs="Arial Narrow"/>
        <w:sz w:val="18"/>
        <w:szCs w:val="18"/>
        <w:lang w:val="it-IT"/>
      </w:rPr>
      <w:t xml:space="preserve"> – Italia</w:t>
    </w:r>
    <w:r w:rsidRPr="00B25159">
      <w:rPr>
        <w:rFonts w:ascii="Arial Narrow" w:hAnsi="Arial Narrow" w:cs="Arial Narrow"/>
        <w:sz w:val="18"/>
        <w:szCs w:val="18"/>
        <w:lang w:val="it-IT"/>
      </w:rPr>
      <w:tab/>
      <w:t xml:space="preserve">R.E.A. </w:t>
    </w:r>
    <w:r w:rsidR="00645F2D">
      <w:rPr>
        <w:rFonts w:ascii="Arial Narrow" w:hAnsi="Arial Narrow" w:cs="Arial Narrow"/>
        <w:sz w:val="18"/>
        <w:szCs w:val="18"/>
        <w:lang w:val="it-IT"/>
      </w:rPr>
      <w:t>Varese 237038</w:t>
    </w:r>
    <w:r w:rsidRPr="00B25159">
      <w:rPr>
        <w:rFonts w:ascii="Arial Narrow" w:hAnsi="Arial Narrow" w:cs="Arial Narrow"/>
        <w:sz w:val="18"/>
        <w:szCs w:val="18"/>
        <w:lang w:val="it-IT"/>
      </w:rPr>
      <w:tab/>
    </w:r>
    <w:r w:rsidRPr="00B25159">
      <w:rPr>
        <w:rFonts w:ascii="Arial Narrow" w:hAnsi="Arial Narrow" w:cs="Arial Narrow"/>
        <w:sz w:val="18"/>
        <w:szCs w:val="18"/>
        <w:lang w:val="it-IT"/>
      </w:rPr>
      <w:tab/>
    </w:r>
  </w:p>
  <w:p w14:paraId="2C66A27C" w14:textId="77777777" w:rsidR="00B066CF" w:rsidRPr="00B25159" w:rsidRDefault="00B066CF" w:rsidP="00B066CF">
    <w:pPr>
      <w:pStyle w:val="Pidipagina"/>
      <w:tabs>
        <w:tab w:val="clear" w:pos="4819"/>
        <w:tab w:val="left" w:pos="2520"/>
        <w:tab w:val="left" w:pos="5040"/>
      </w:tabs>
      <w:rPr>
        <w:rFonts w:ascii="Arial Narrow" w:hAnsi="Arial Narrow" w:cs="Arial Narrow"/>
        <w:sz w:val="18"/>
        <w:szCs w:val="18"/>
        <w:lang w:val="it-IT"/>
      </w:rPr>
    </w:pPr>
    <w:r w:rsidRPr="00B25159">
      <w:rPr>
        <w:rFonts w:ascii="Arial Narrow" w:hAnsi="Arial Narrow" w:cs="Arial Narrow"/>
        <w:sz w:val="18"/>
        <w:szCs w:val="18"/>
        <w:lang w:val="it-IT"/>
      </w:rPr>
      <w:t xml:space="preserve"> Tel. +39 0</w:t>
    </w:r>
    <w:r w:rsidR="00645F2D">
      <w:rPr>
        <w:rFonts w:ascii="Arial Narrow" w:hAnsi="Arial Narrow" w:cs="Arial Narrow"/>
        <w:sz w:val="18"/>
        <w:szCs w:val="18"/>
        <w:lang w:val="it-IT"/>
      </w:rPr>
      <w:t>33</w:t>
    </w:r>
    <w:r w:rsidRPr="00B25159">
      <w:rPr>
        <w:rFonts w:ascii="Arial Narrow" w:hAnsi="Arial Narrow" w:cs="Arial Narrow"/>
        <w:sz w:val="18"/>
        <w:szCs w:val="18"/>
        <w:lang w:val="it-IT"/>
      </w:rPr>
      <w:t xml:space="preserve">2 </w:t>
    </w:r>
    <w:r w:rsidR="00645F2D">
      <w:rPr>
        <w:rFonts w:ascii="Arial Narrow" w:hAnsi="Arial Narrow" w:cs="Arial Narrow"/>
        <w:sz w:val="18"/>
        <w:szCs w:val="18"/>
        <w:lang w:val="it-IT"/>
      </w:rPr>
      <w:t>272111</w:t>
    </w:r>
    <w:r w:rsidRPr="00B25159">
      <w:rPr>
        <w:rFonts w:ascii="Arial Narrow" w:hAnsi="Arial Narrow" w:cs="Arial Narrow"/>
        <w:sz w:val="18"/>
        <w:szCs w:val="18"/>
        <w:lang w:val="it-IT"/>
      </w:rPr>
      <w:tab/>
      <w:t>P.IVA IT10991860155</w:t>
    </w:r>
    <w:r w:rsidRPr="00B25159">
      <w:rPr>
        <w:rFonts w:ascii="Arial Narrow" w:hAnsi="Arial Narrow" w:cs="Arial Narrow"/>
        <w:sz w:val="18"/>
        <w:szCs w:val="18"/>
        <w:lang w:val="it-IT"/>
      </w:rPr>
      <w:tab/>
    </w:r>
  </w:p>
  <w:p w14:paraId="2C66A27D" w14:textId="77777777" w:rsidR="00B066CF" w:rsidRPr="00B25159" w:rsidRDefault="00B066CF" w:rsidP="00B066CF">
    <w:pPr>
      <w:pStyle w:val="Pidipagina"/>
      <w:tabs>
        <w:tab w:val="left" w:pos="2520"/>
      </w:tabs>
      <w:rPr>
        <w:rFonts w:ascii="Arial Narrow" w:hAnsi="Arial Narrow" w:cs="Arial Narrow"/>
        <w:sz w:val="18"/>
        <w:szCs w:val="18"/>
        <w:lang w:val="it-IT"/>
      </w:rPr>
    </w:pPr>
    <w:r w:rsidRPr="00B25159">
      <w:rPr>
        <w:rFonts w:ascii="Arial Narrow" w:hAnsi="Arial Narrow" w:cs="Arial Narrow"/>
        <w:sz w:val="18"/>
        <w:szCs w:val="18"/>
        <w:lang w:val="it-IT"/>
      </w:rPr>
      <w:t xml:space="preserve"> Fax +39 0</w:t>
    </w:r>
    <w:r w:rsidR="00645F2D">
      <w:rPr>
        <w:rFonts w:ascii="Arial Narrow" w:hAnsi="Arial Narrow" w:cs="Arial Narrow"/>
        <w:sz w:val="18"/>
        <w:szCs w:val="18"/>
        <w:lang w:val="it-IT"/>
      </w:rPr>
      <w:t>33</w:t>
    </w:r>
    <w:r w:rsidRPr="00B25159">
      <w:rPr>
        <w:rFonts w:ascii="Arial Narrow" w:hAnsi="Arial Narrow" w:cs="Arial Narrow"/>
        <w:sz w:val="18"/>
        <w:szCs w:val="18"/>
        <w:lang w:val="it-IT"/>
      </w:rPr>
      <w:t xml:space="preserve">2 </w:t>
    </w:r>
    <w:r w:rsidR="00645F2D">
      <w:rPr>
        <w:rFonts w:ascii="Arial Narrow" w:hAnsi="Arial Narrow" w:cs="Arial Narrow"/>
        <w:sz w:val="18"/>
        <w:szCs w:val="18"/>
        <w:lang w:val="it-IT"/>
      </w:rPr>
      <w:t>423675</w:t>
    </w:r>
    <w:r w:rsidRPr="00B25159">
      <w:rPr>
        <w:rFonts w:ascii="Arial Narrow" w:hAnsi="Arial Narrow" w:cs="Arial Narrow"/>
        <w:sz w:val="18"/>
        <w:szCs w:val="18"/>
        <w:lang w:val="it-IT"/>
      </w:rPr>
      <w:tab/>
      <w:t>S.p.A. a socio unico</w:t>
    </w:r>
  </w:p>
  <w:p w14:paraId="2C66A27E" w14:textId="77777777" w:rsidR="00B066CF" w:rsidRPr="00B25159" w:rsidRDefault="00B066CF" w:rsidP="00B066CF">
    <w:pPr>
      <w:pStyle w:val="Pidipagina"/>
      <w:tabs>
        <w:tab w:val="left" w:pos="2520"/>
      </w:tabs>
      <w:rPr>
        <w:rFonts w:ascii="Arial Narrow" w:hAnsi="Arial Narrow" w:cs="Arial Narrow"/>
        <w:sz w:val="18"/>
        <w:szCs w:val="18"/>
        <w:lang w:val="it-IT"/>
      </w:rPr>
    </w:pPr>
    <w:r w:rsidRPr="00B25159">
      <w:rPr>
        <w:rFonts w:ascii="Arial Narrow" w:hAnsi="Arial Narrow" w:cs="Arial Narrow"/>
        <w:sz w:val="18"/>
        <w:szCs w:val="18"/>
        <w:lang w:val="it-IT"/>
      </w:rPr>
      <w:t xml:space="preserve"> www.bticino.it</w:t>
    </w:r>
    <w:r w:rsidRPr="00B25159">
      <w:rPr>
        <w:rFonts w:ascii="Arial Narrow" w:hAnsi="Arial Narrow" w:cs="Arial Narrow"/>
        <w:sz w:val="18"/>
        <w:szCs w:val="18"/>
        <w:lang w:val="it-IT"/>
      </w:rPr>
      <w:tab/>
      <w:t>Gruppo Legrand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7053D" w14:textId="77777777" w:rsidR="00576B72" w:rsidRDefault="00576B72">
      <w:r>
        <w:separator/>
      </w:r>
    </w:p>
  </w:footnote>
  <w:footnote w:type="continuationSeparator" w:id="0">
    <w:p w14:paraId="20A80AE2" w14:textId="77777777" w:rsidR="00576B72" w:rsidRDefault="00576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A276" w14:textId="77777777" w:rsidR="00B066CF" w:rsidRDefault="005A6E2C">
    <w:pPr>
      <w:pStyle w:val="Intestazione"/>
    </w:pPr>
    <w:r>
      <w:rPr>
        <w:noProof/>
        <w:lang w:val="it-IT"/>
      </w:rPr>
      <w:drawing>
        <wp:inline distT="0" distB="0" distL="0" distR="0" wp14:anchorId="2C66A27F" wp14:editId="2C66A280">
          <wp:extent cx="1333500" cy="27940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279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A754C">
      <w:tab/>
    </w:r>
    <w:r w:rsidR="00FA754C">
      <w:tab/>
    </w:r>
    <w:r>
      <w:rPr>
        <w:noProof/>
        <w:lang w:val="it-IT"/>
      </w:rPr>
      <w:drawing>
        <wp:inline distT="0" distB="0" distL="0" distR="0" wp14:anchorId="2C66A281" wp14:editId="2C66A282">
          <wp:extent cx="1854200" cy="546100"/>
          <wp:effectExtent l="1905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72525" b="65868"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546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C1D"/>
    <w:multiLevelType w:val="multilevel"/>
    <w:tmpl w:val="8516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403F15"/>
    <w:multiLevelType w:val="multilevel"/>
    <w:tmpl w:val="A8FC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852037"/>
    <w:multiLevelType w:val="multilevel"/>
    <w:tmpl w:val="13E23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320F3F"/>
    <w:multiLevelType w:val="multilevel"/>
    <w:tmpl w:val="44EEC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220759"/>
    <w:multiLevelType w:val="multilevel"/>
    <w:tmpl w:val="35F8C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2A37B3"/>
    <w:multiLevelType w:val="multilevel"/>
    <w:tmpl w:val="3996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797BE4"/>
    <w:multiLevelType w:val="multilevel"/>
    <w:tmpl w:val="7C7E6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445765"/>
    <w:multiLevelType w:val="multilevel"/>
    <w:tmpl w:val="0EA4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550220"/>
    <w:multiLevelType w:val="multilevel"/>
    <w:tmpl w:val="73F60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265274"/>
    <w:multiLevelType w:val="multilevel"/>
    <w:tmpl w:val="03309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FA212B"/>
    <w:multiLevelType w:val="multilevel"/>
    <w:tmpl w:val="732C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573BD2"/>
    <w:multiLevelType w:val="multilevel"/>
    <w:tmpl w:val="6876D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D70CEE"/>
    <w:multiLevelType w:val="multilevel"/>
    <w:tmpl w:val="934EB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EC5F13"/>
    <w:multiLevelType w:val="multilevel"/>
    <w:tmpl w:val="5E00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615FDA"/>
    <w:multiLevelType w:val="multilevel"/>
    <w:tmpl w:val="F08E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BE2229"/>
    <w:multiLevelType w:val="multilevel"/>
    <w:tmpl w:val="87961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FF76F2"/>
    <w:multiLevelType w:val="multilevel"/>
    <w:tmpl w:val="D65AF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3335C7"/>
    <w:multiLevelType w:val="multilevel"/>
    <w:tmpl w:val="B17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EA0294"/>
    <w:multiLevelType w:val="multilevel"/>
    <w:tmpl w:val="0876E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596C6C"/>
    <w:multiLevelType w:val="hybridMultilevel"/>
    <w:tmpl w:val="50508E96"/>
    <w:lvl w:ilvl="0" w:tplc="9B98ADA6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418D012D"/>
    <w:multiLevelType w:val="multilevel"/>
    <w:tmpl w:val="AB22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4F6B10"/>
    <w:multiLevelType w:val="multilevel"/>
    <w:tmpl w:val="10D06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D739C9"/>
    <w:multiLevelType w:val="multilevel"/>
    <w:tmpl w:val="159E9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187BB2"/>
    <w:multiLevelType w:val="multilevel"/>
    <w:tmpl w:val="3E166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1D43F0"/>
    <w:multiLevelType w:val="hybridMultilevel"/>
    <w:tmpl w:val="9550952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C2B35"/>
    <w:multiLevelType w:val="multilevel"/>
    <w:tmpl w:val="BB0E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C900BF"/>
    <w:multiLevelType w:val="multilevel"/>
    <w:tmpl w:val="95AA1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87C2F"/>
    <w:multiLevelType w:val="hybridMultilevel"/>
    <w:tmpl w:val="9550952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77F21"/>
    <w:multiLevelType w:val="multilevel"/>
    <w:tmpl w:val="BC0A7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8C79BE"/>
    <w:multiLevelType w:val="hybridMultilevel"/>
    <w:tmpl w:val="548C0C5E"/>
    <w:lvl w:ilvl="0" w:tplc="8028FED8">
      <w:start w:val="1"/>
      <w:numFmt w:val="bullet"/>
      <w:lvlText w:val="-"/>
      <w:lvlJc w:val="left"/>
      <w:pPr>
        <w:ind w:left="107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0" w15:restartNumberingAfterBreak="0">
    <w:nsid w:val="5B4C3C3B"/>
    <w:multiLevelType w:val="multilevel"/>
    <w:tmpl w:val="E9028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7269B0"/>
    <w:multiLevelType w:val="multilevel"/>
    <w:tmpl w:val="815AE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405B25"/>
    <w:multiLevelType w:val="hybridMultilevel"/>
    <w:tmpl w:val="9D3696E4"/>
    <w:lvl w:ilvl="0" w:tplc="0F6A90B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3" w15:restartNumberingAfterBreak="0">
    <w:nsid w:val="5DE03783"/>
    <w:multiLevelType w:val="multilevel"/>
    <w:tmpl w:val="9D54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355AB6"/>
    <w:multiLevelType w:val="multilevel"/>
    <w:tmpl w:val="88DCF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7053BC"/>
    <w:multiLevelType w:val="multilevel"/>
    <w:tmpl w:val="16901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860B50"/>
    <w:multiLevelType w:val="multilevel"/>
    <w:tmpl w:val="3C8AC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EE7906"/>
    <w:multiLevelType w:val="multilevel"/>
    <w:tmpl w:val="531A6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65B7BA8"/>
    <w:multiLevelType w:val="multilevel"/>
    <w:tmpl w:val="5178D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FF0F5C"/>
    <w:multiLevelType w:val="multilevel"/>
    <w:tmpl w:val="EB803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5E1BD0"/>
    <w:multiLevelType w:val="multilevel"/>
    <w:tmpl w:val="3C5AD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7210A7"/>
    <w:multiLevelType w:val="multilevel"/>
    <w:tmpl w:val="340E8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A8705D8"/>
    <w:multiLevelType w:val="multilevel"/>
    <w:tmpl w:val="BFA47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ABE4CC9"/>
    <w:multiLevelType w:val="multilevel"/>
    <w:tmpl w:val="0B506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10160E"/>
    <w:multiLevelType w:val="multilevel"/>
    <w:tmpl w:val="877AF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A6673F"/>
    <w:multiLevelType w:val="multilevel"/>
    <w:tmpl w:val="6CC64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B15601"/>
    <w:multiLevelType w:val="multilevel"/>
    <w:tmpl w:val="5D96A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3829720">
    <w:abstractNumId w:val="27"/>
  </w:num>
  <w:num w:numId="2" w16cid:durableId="51658455">
    <w:abstractNumId w:val="32"/>
  </w:num>
  <w:num w:numId="3" w16cid:durableId="301272407">
    <w:abstractNumId w:val="19"/>
  </w:num>
  <w:num w:numId="4" w16cid:durableId="562643513">
    <w:abstractNumId w:val="29"/>
  </w:num>
  <w:num w:numId="5" w16cid:durableId="1261403097">
    <w:abstractNumId w:val="24"/>
  </w:num>
  <w:num w:numId="6" w16cid:durableId="185564661">
    <w:abstractNumId w:val="44"/>
  </w:num>
  <w:num w:numId="7" w16cid:durableId="72047632">
    <w:abstractNumId w:val="12"/>
  </w:num>
  <w:num w:numId="8" w16cid:durableId="626591336">
    <w:abstractNumId w:val="9"/>
  </w:num>
  <w:num w:numId="9" w16cid:durableId="1970934147">
    <w:abstractNumId w:val="17"/>
  </w:num>
  <w:num w:numId="10" w16cid:durableId="1836651938">
    <w:abstractNumId w:val="35"/>
  </w:num>
  <w:num w:numId="11" w16cid:durableId="557742944">
    <w:abstractNumId w:val="38"/>
  </w:num>
  <w:num w:numId="12" w16cid:durableId="1520192328">
    <w:abstractNumId w:val="13"/>
  </w:num>
  <w:num w:numId="13" w16cid:durableId="1226453869">
    <w:abstractNumId w:val="26"/>
  </w:num>
  <w:num w:numId="14" w16cid:durableId="774401734">
    <w:abstractNumId w:val="10"/>
  </w:num>
  <w:num w:numId="15" w16cid:durableId="682589293">
    <w:abstractNumId w:val="31"/>
  </w:num>
  <w:num w:numId="16" w16cid:durableId="1907646306">
    <w:abstractNumId w:val="5"/>
  </w:num>
  <w:num w:numId="17" w16cid:durableId="420831067">
    <w:abstractNumId w:val="1"/>
  </w:num>
  <w:num w:numId="18" w16cid:durableId="1377198730">
    <w:abstractNumId w:val="39"/>
  </w:num>
  <w:num w:numId="19" w16cid:durableId="78521479">
    <w:abstractNumId w:val="11"/>
  </w:num>
  <w:num w:numId="20" w16cid:durableId="1690523493">
    <w:abstractNumId w:val="7"/>
  </w:num>
  <w:num w:numId="21" w16cid:durableId="1748264108">
    <w:abstractNumId w:val="21"/>
  </w:num>
  <w:num w:numId="22" w16cid:durableId="458113142">
    <w:abstractNumId w:val="3"/>
  </w:num>
  <w:num w:numId="23" w16cid:durableId="438961070">
    <w:abstractNumId w:val="15"/>
  </w:num>
  <w:num w:numId="24" w16cid:durableId="370616019">
    <w:abstractNumId w:val="28"/>
  </w:num>
  <w:num w:numId="25" w16cid:durableId="1353646850">
    <w:abstractNumId w:val="0"/>
  </w:num>
  <w:num w:numId="26" w16cid:durableId="265969689">
    <w:abstractNumId w:val="6"/>
  </w:num>
  <w:num w:numId="27" w16cid:durableId="1064178536">
    <w:abstractNumId w:val="43"/>
  </w:num>
  <w:num w:numId="28" w16cid:durableId="453257177">
    <w:abstractNumId w:val="20"/>
  </w:num>
  <w:num w:numId="29" w16cid:durableId="2112427490">
    <w:abstractNumId w:val="33"/>
  </w:num>
  <w:num w:numId="30" w16cid:durableId="1264536383">
    <w:abstractNumId w:val="18"/>
  </w:num>
  <w:num w:numId="31" w16cid:durableId="1650861647">
    <w:abstractNumId w:val="42"/>
  </w:num>
  <w:num w:numId="32" w16cid:durableId="1919250447">
    <w:abstractNumId w:val="41"/>
  </w:num>
  <w:num w:numId="33" w16cid:durableId="1603684904">
    <w:abstractNumId w:val="8"/>
  </w:num>
  <w:num w:numId="34" w16cid:durableId="754932703">
    <w:abstractNumId w:val="14"/>
  </w:num>
  <w:num w:numId="35" w16cid:durableId="252053841">
    <w:abstractNumId w:val="25"/>
  </w:num>
  <w:num w:numId="36" w16cid:durableId="881795494">
    <w:abstractNumId w:val="36"/>
  </w:num>
  <w:num w:numId="37" w16cid:durableId="184903817">
    <w:abstractNumId w:val="45"/>
  </w:num>
  <w:num w:numId="38" w16cid:durableId="606809056">
    <w:abstractNumId w:val="37"/>
  </w:num>
  <w:num w:numId="39" w16cid:durableId="68311034">
    <w:abstractNumId w:val="34"/>
  </w:num>
  <w:num w:numId="40" w16cid:durableId="2049252777">
    <w:abstractNumId w:val="22"/>
  </w:num>
  <w:num w:numId="41" w16cid:durableId="1310018276">
    <w:abstractNumId w:val="2"/>
  </w:num>
  <w:num w:numId="42" w16cid:durableId="863790714">
    <w:abstractNumId w:val="23"/>
  </w:num>
  <w:num w:numId="43" w16cid:durableId="128909770">
    <w:abstractNumId w:val="16"/>
  </w:num>
  <w:num w:numId="44" w16cid:durableId="51123880">
    <w:abstractNumId w:val="30"/>
  </w:num>
  <w:num w:numId="45" w16cid:durableId="166212329">
    <w:abstractNumId w:val="4"/>
  </w:num>
  <w:num w:numId="46" w16cid:durableId="1824423226">
    <w:abstractNumId w:val="46"/>
  </w:num>
  <w:num w:numId="47" w16cid:durableId="121774085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F8A"/>
    <w:rsid w:val="00014B14"/>
    <w:rsid w:val="00015917"/>
    <w:rsid w:val="00027863"/>
    <w:rsid w:val="000443E9"/>
    <w:rsid w:val="00064968"/>
    <w:rsid w:val="000A5B5D"/>
    <w:rsid w:val="000C2364"/>
    <w:rsid w:val="000D5741"/>
    <w:rsid w:val="000F01AF"/>
    <w:rsid w:val="00101D21"/>
    <w:rsid w:val="00102428"/>
    <w:rsid w:val="00151D66"/>
    <w:rsid w:val="00155074"/>
    <w:rsid w:val="00171E73"/>
    <w:rsid w:val="00172C43"/>
    <w:rsid w:val="00173D67"/>
    <w:rsid w:val="00190837"/>
    <w:rsid w:val="001A094F"/>
    <w:rsid w:val="001A5D28"/>
    <w:rsid w:val="001C3F45"/>
    <w:rsid w:val="001F571D"/>
    <w:rsid w:val="00204FB9"/>
    <w:rsid w:val="002238B8"/>
    <w:rsid w:val="00234342"/>
    <w:rsid w:val="00250422"/>
    <w:rsid w:val="00270728"/>
    <w:rsid w:val="002764DF"/>
    <w:rsid w:val="0029464B"/>
    <w:rsid w:val="00295379"/>
    <w:rsid w:val="002A1997"/>
    <w:rsid w:val="002A57E5"/>
    <w:rsid w:val="002C012F"/>
    <w:rsid w:val="002C53BE"/>
    <w:rsid w:val="002F0F58"/>
    <w:rsid w:val="002F315A"/>
    <w:rsid w:val="002F7E4F"/>
    <w:rsid w:val="00303E21"/>
    <w:rsid w:val="003107DE"/>
    <w:rsid w:val="00320C96"/>
    <w:rsid w:val="00324BCE"/>
    <w:rsid w:val="00350F0C"/>
    <w:rsid w:val="00355C6E"/>
    <w:rsid w:val="00360E30"/>
    <w:rsid w:val="00375DB7"/>
    <w:rsid w:val="003A0145"/>
    <w:rsid w:val="003B74B2"/>
    <w:rsid w:val="003C1DB5"/>
    <w:rsid w:val="003D2CAB"/>
    <w:rsid w:val="003E7D08"/>
    <w:rsid w:val="003F6B42"/>
    <w:rsid w:val="00407CD6"/>
    <w:rsid w:val="00413482"/>
    <w:rsid w:val="00423063"/>
    <w:rsid w:val="00432CC9"/>
    <w:rsid w:val="00432E30"/>
    <w:rsid w:val="0045427B"/>
    <w:rsid w:val="00454908"/>
    <w:rsid w:val="004848F6"/>
    <w:rsid w:val="00487656"/>
    <w:rsid w:val="004919AE"/>
    <w:rsid w:val="004D24F7"/>
    <w:rsid w:val="004D2778"/>
    <w:rsid w:val="004E210B"/>
    <w:rsid w:val="004F4480"/>
    <w:rsid w:val="00501DAD"/>
    <w:rsid w:val="00504FC3"/>
    <w:rsid w:val="00506139"/>
    <w:rsid w:val="00510C65"/>
    <w:rsid w:val="0051107B"/>
    <w:rsid w:val="00515190"/>
    <w:rsid w:val="00550C20"/>
    <w:rsid w:val="0057304D"/>
    <w:rsid w:val="005741E1"/>
    <w:rsid w:val="00576B72"/>
    <w:rsid w:val="00577256"/>
    <w:rsid w:val="0059155C"/>
    <w:rsid w:val="005A5C9A"/>
    <w:rsid w:val="005A6E2C"/>
    <w:rsid w:val="005B1016"/>
    <w:rsid w:val="005B117E"/>
    <w:rsid w:val="005B4FA2"/>
    <w:rsid w:val="005D070A"/>
    <w:rsid w:val="005F2D83"/>
    <w:rsid w:val="005F63FC"/>
    <w:rsid w:val="005F71A3"/>
    <w:rsid w:val="00603D45"/>
    <w:rsid w:val="00645F2D"/>
    <w:rsid w:val="00647E82"/>
    <w:rsid w:val="00655E9C"/>
    <w:rsid w:val="0066377A"/>
    <w:rsid w:val="0066494D"/>
    <w:rsid w:val="00666F87"/>
    <w:rsid w:val="0069416B"/>
    <w:rsid w:val="00696FD3"/>
    <w:rsid w:val="006C4802"/>
    <w:rsid w:val="006E319C"/>
    <w:rsid w:val="006F5235"/>
    <w:rsid w:val="0071386C"/>
    <w:rsid w:val="00713F29"/>
    <w:rsid w:val="007143F0"/>
    <w:rsid w:val="00714407"/>
    <w:rsid w:val="00723ED8"/>
    <w:rsid w:val="007317FB"/>
    <w:rsid w:val="0073272B"/>
    <w:rsid w:val="00740CC8"/>
    <w:rsid w:val="0074520E"/>
    <w:rsid w:val="007519DD"/>
    <w:rsid w:val="007606EC"/>
    <w:rsid w:val="00762D81"/>
    <w:rsid w:val="00763262"/>
    <w:rsid w:val="0077002D"/>
    <w:rsid w:val="007719B6"/>
    <w:rsid w:val="00772828"/>
    <w:rsid w:val="00772866"/>
    <w:rsid w:val="00774908"/>
    <w:rsid w:val="007843E0"/>
    <w:rsid w:val="0079311E"/>
    <w:rsid w:val="00795EA5"/>
    <w:rsid w:val="007A1FAA"/>
    <w:rsid w:val="007A371C"/>
    <w:rsid w:val="007A6FC0"/>
    <w:rsid w:val="007B175C"/>
    <w:rsid w:val="007B30EA"/>
    <w:rsid w:val="007C319C"/>
    <w:rsid w:val="007C6161"/>
    <w:rsid w:val="007D2E13"/>
    <w:rsid w:val="007E112B"/>
    <w:rsid w:val="007F1C0E"/>
    <w:rsid w:val="007F6BFC"/>
    <w:rsid w:val="00813021"/>
    <w:rsid w:val="00834572"/>
    <w:rsid w:val="00843E78"/>
    <w:rsid w:val="0089218D"/>
    <w:rsid w:val="0089414A"/>
    <w:rsid w:val="00895B99"/>
    <w:rsid w:val="008A183C"/>
    <w:rsid w:val="008A1CCA"/>
    <w:rsid w:val="008B5781"/>
    <w:rsid w:val="008C4B41"/>
    <w:rsid w:val="008D18A9"/>
    <w:rsid w:val="009050D1"/>
    <w:rsid w:val="00907A95"/>
    <w:rsid w:val="0091055B"/>
    <w:rsid w:val="00911372"/>
    <w:rsid w:val="00916A13"/>
    <w:rsid w:val="009201CB"/>
    <w:rsid w:val="00925164"/>
    <w:rsid w:val="00953E15"/>
    <w:rsid w:val="00980230"/>
    <w:rsid w:val="009952FD"/>
    <w:rsid w:val="009953E5"/>
    <w:rsid w:val="00997BCE"/>
    <w:rsid w:val="009A1CC1"/>
    <w:rsid w:val="009B405A"/>
    <w:rsid w:val="009B63AD"/>
    <w:rsid w:val="009C69F4"/>
    <w:rsid w:val="009C7BD0"/>
    <w:rsid w:val="009D4329"/>
    <w:rsid w:val="009D6805"/>
    <w:rsid w:val="009F2703"/>
    <w:rsid w:val="00A05915"/>
    <w:rsid w:val="00A114CD"/>
    <w:rsid w:val="00A2286D"/>
    <w:rsid w:val="00A30384"/>
    <w:rsid w:val="00A34B0D"/>
    <w:rsid w:val="00A356D8"/>
    <w:rsid w:val="00A37D56"/>
    <w:rsid w:val="00A563E0"/>
    <w:rsid w:val="00A64E1F"/>
    <w:rsid w:val="00A779D3"/>
    <w:rsid w:val="00A8690A"/>
    <w:rsid w:val="00A91AA8"/>
    <w:rsid w:val="00A96219"/>
    <w:rsid w:val="00AB4860"/>
    <w:rsid w:val="00AB5E7F"/>
    <w:rsid w:val="00AE222D"/>
    <w:rsid w:val="00AE61D7"/>
    <w:rsid w:val="00AF11B8"/>
    <w:rsid w:val="00AF2BA6"/>
    <w:rsid w:val="00B066CF"/>
    <w:rsid w:val="00B06D77"/>
    <w:rsid w:val="00B25159"/>
    <w:rsid w:val="00B34F7E"/>
    <w:rsid w:val="00B56585"/>
    <w:rsid w:val="00B60EF4"/>
    <w:rsid w:val="00B6463C"/>
    <w:rsid w:val="00B7414C"/>
    <w:rsid w:val="00B87235"/>
    <w:rsid w:val="00B95B16"/>
    <w:rsid w:val="00BA1F8A"/>
    <w:rsid w:val="00BA20E9"/>
    <w:rsid w:val="00BB35A4"/>
    <w:rsid w:val="00BC07CC"/>
    <w:rsid w:val="00BE2A88"/>
    <w:rsid w:val="00BF4B46"/>
    <w:rsid w:val="00C04D8A"/>
    <w:rsid w:val="00C07E7C"/>
    <w:rsid w:val="00C31996"/>
    <w:rsid w:val="00C34EDA"/>
    <w:rsid w:val="00C37692"/>
    <w:rsid w:val="00C54373"/>
    <w:rsid w:val="00C7145D"/>
    <w:rsid w:val="00C778F9"/>
    <w:rsid w:val="00C86D68"/>
    <w:rsid w:val="00C90025"/>
    <w:rsid w:val="00CB19E2"/>
    <w:rsid w:val="00CB4983"/>
    <w:rsid w:val="00CB55E3"/>
    <w:rsid w:val="00D04F06"/>
    <w:rsid w:val="00D10BC8"/>
    <w:rsid w:val="00D235DC"/>
    <w:rsid w:val="00D3136E"/>
    <w:rsid w:val="00D609D4"/>
    <w:rsid w:val="00D8758D"/>
    <w:rsid w:val="00D90299"/>
    <w:rsid w:val="00D933CE"/>
    <w:rsid w:val="00D96F5B"/>
    <w:rsid w:val="00DA46A3"/>
    <w:rsid w:val="00DC19B4"/>
    <w:rsid w:val="00DD4B0E"/>
    <w:rsid w:val="00DE5116"/>
    <w:rsid w:val="00DE683A"/>
    <w:rsid w:val="00E10726"/>
    <w:rsid w:val="00E20525"/>
    <w:rsid w:val="00E63E1C"/>
    <w:rsid w:val="00E80F82"/>
    <w:rsid w:val="00E84314"/>
    <w:rsid w:val="00EB03C2"/>
    <w:rsid w:val="00EC66AF"/>
    <w:rsid w:val="00F252CB"/>
    <w:rsid w:val="00F2646F"/>
    <w:rsid w:val="00F351DC"/>
    <w:rsid w:val="00F4115B"/>
    <w:rsid w:val="00F50C2C"/>
    <w:rsid w:val="00F60D87"/>
    <w:rsid w:val="00F80A83"/>
    <w:rsid w:val="00F8703A"/>
    <w:rsid w:val="00F93606"/>
    <w:rsid w:val="00F95209"/>
    <w:rsid w:val="00FA3AA0"/>
    <w:rsid w:val="00FA754C"/>
    <w:rsid w:val="00FB7998"/>
    <w:rsid w:val="00FC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2C66A271"/>
  <w15:docId w15:val="{93649D1D-01F2-4B6B-93AB-551986C7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1997"/>
    <w:pPr>
      <w:spacing w:after="0" w:line="240" w:lineRule="auto"/>
    </w:pPr>
    <w:rPr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843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609D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609D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7A9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9D4329"/>
    <w:pPr>
      <w:tabs>
        <w:tab w:val="center" w:pos="4819"/>
        <w:tab w:val="right" w:pos="9638"/>
      </w:tabs>
    </w:pPr>
    <w:rPr>
      <w:lang w:val="en-GB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9D4329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D4329"/>
    <w:pPr>
      <w:tabs>
        <w:tab w:val="center" w:pos="4819"/>
        <w:tab w:val="right" w:pos="9638"/>
      </w:tabs>
    </w:pPr>
    <w:rPr>
      <w:lang w:val="en-GB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9D4329"/>
    <w:rPr>
      <w:rFonts w:cs="Times New Roman"/>
      <w:sz w:val="24"/>
      <w:szCs w:val="24"/>
    </w:rPr>
  </w:style>
  <w:style w:type="character" w:customStyle="1" w:styleId="formreadable1">
    <w:name w:val="formreadable1"/>
    <w:basedOn w:val="Carpredefinitoparagrafo"/>
    <w:rsid w:val="000F01AF"/>
    <w:rPr>
      <w:rFonts w:ascii="Verdana" w:hAnsi="Verdana" w:cs="Times New Roman"/>
      <w:b/>
      <w:bCs/>
      <w:color w:val="000000"/>
      <w:sz w:val="17"/>
      <w:szCs w:val="17"/>
      <w:u w:val="none"/>
      <w:effect w:val="none"/>
      <w:shd w:val="clear" w:color="auto" w:fill="F2F2F6"/>
    </w:rPr>
  </w:style>
  <w:style w:type="paragraph" w:styleId="Corpotesto">
    <w:name w:val="Body Text"/>
    <w:basedOn w:val="Normale"/>
    <w:link w:val="CorpotestoCarattere"/>
    <w:uiPriority w:val="99"/>
    <w:rsid w:val="008D18A9"/>
    <w:pPr>
      <w:tabs>
        <w:tab w:val="left" w:pos="3118"/>
        <w:tab w:val="left" w:pos="3997"/>
      </w:tabs>
      <w:spacing w:line="480" w:lineRule="atLeast"/>
      <w:ind w:right="411"/>
      <w:jc w:val="both"/>
    </w:pPr>
    <w:rPr>
      <w:rFonts w:ascii="Helv" w:hAnsi="Helv"/>
      <w:sz w:val="22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8D18A9"/>
    <w:rPr>
      <w:rFonts w:ascii="Helv" w:hAnsi="Helv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519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519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F87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443E9"/>
    <w:pPr>
      <w:ind w:left="720"/>
      <w:contextualSpacing/>
    </w:p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7A95"/>
    <w:rPr>
      <w:rFonts w:ascii="Calibri" w:hAnsi="Calibri"/>
      <w:b/>
      <w:bCs/>
    </w:rPr>
  </w:style>
  <w:style w:type="character" w:styleId="Enfasicorsivo">
    <w:name w:val="Emphasis"/>
    <w:basedOn w:val="Carpredefinitoparagrafo"/>
    <w:qFormat/>
    <w:rsid w:val="00907A95"/>
    <w:rPr>
      <w:i/>
      <w:iCs/>
    </w:rPr>
  </w:style>
  <w:style w:type="paragraph" w:customStyle="1" w:styleId="CM4">
    <w:name w:val="CM4"/>
    <w:basedOn w:val="Normale"/>
    <w:next w:val="Normale"/>
    <w:uiPriority w:val="99"/>
    <w:rsid w:val="00907A95"/>
    <w:pPr>
      <w:widowControl w:val="0"/>
      <w:autoSpaceDE w:val="0"/>
      <w:autoSpaceDN w:val="0"/>
      <w:adjustRightInd w:val="0"/>
      <w:spacing w:line="260" w:lineRule="atLeast"/>
    </w:pPr>
    <w:rPr>
      <w:rFonts w:ascii="Times" w:hAnsi="Times" w:cs="Times"/>
    </w:rPr>
  </w:style>
  <w:style w:type="paragraph" w:styleId="Corpodeltesto2">
    <w:name w:val="Body Text 2"/>
    <w:basedOn w:val="Normale"/>
    <w:link w:val="Corpodeltesto2Carattere"/>
    <w:rsid w:val="00907A9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907A95"/>
    <w:rPr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609D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609D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Normal">
    <w:name w:val="[Normal]"/>
    <w:rsid w:val="009B405A"/>
    <w:pPr>
      <w:spacing w:after="0" w:line="240" w:lineRule="auto"/>
    </w:pPr>
    <w:rPr>
      <w:rFonts w:ascii="Arial" w:eastAsia="Arial" w:hAnsi="Arial"/>
      <w:noProof/>
      <w:sz w:val="24"/>
      <w:szCs w:val="20"/>
      <w:lang w:val="en-US" w:eastAsia="en-US"/>
    </w:rPr>
  </w:style>
  <w:style w:type="table" w:styleId="Grigliatabellachiara">
    <w:name w:val="Grid Table Light"/>
    <w:basedOn w:val="Tabellanormale"/>
    <w:uiPriority w:val="40"/>
    <w:rsid w:val="00A34B0D"/>
    <w:pPr>
      <w:spacing w:after="0" w:line="240" w:lineRule="auto"/>
    </w:pPr>
    <w:rPr>
      <w:rFonts w:ascii="Calibri" w:eastAsia="Calibri" w:hAnsi="Calibri"/>
      <w:kern w:val="2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843E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klsfhaklhflkahlfhalf</vt:lpstr>
    </vt:vector>
  </TitlesOfParts>
  <Company>Bticino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klsfhaklhflkahlfhalf</dc:title>
  <dc:creator>BT</dc:creator>
  <cp:lastModifiedBy>Ilaria TAURISANO</cp:lastModifiedBy>
  <cp:revision>100</cp:revision>
  <cp:lastPrinted>2013-02-11T09:59:00Z</cp:lastPrinted>
  <dcterms:created xsi:type="dcterms:W3CDTF">2013-09-13T13:26:00Z</dcterms:created>
  <dcterms:modified xsi:type="dcterms:W3CDTF">2025-12-09T10:22:00Z</dcterms:modified>
</cp:coreProperties>
</file>